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0223" w14:textId="04E76EAB" w:rsidR="009B27B9" w:rsidRDefault="009B27B9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Tool &amp; Example</w:t>
      </w:r>
    </w:p>
    <w:tbl>
      <w:tblPr>
        <w:tblW w:w="9183" w:type="dxa"/>
        <w:tblInd w:w="-3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1701"/>
        <w:gridCol w:w="2335"/>
        <w:gridCol w:w="2485"/>
        <w:gridCol w:w="1331"/>
        <w:gridCol w:w="1331"/>
      </w:tblGrid>
      <w:tr w:rsidR="00EF4434" w:rsidRPr="002528F2" w14:paraId="6A5C5B73" w14:textId="77777777" w:rsidTr="00EF4434">
        <w:trPr>
          <w:trHeight w:val="510"/>
        </w:trPr>
        <w:tc>
          <w:tcPr>
            <w:tcW w:w="9183" w:type="dxa"/>
            <w:gridSpan w:val="5"/>
            <w:shd w:val="clear" w:color="auto" w:fill="00885E"/>
            <w:vAlign w:val="center"/>
          </w:tcPr>
          <w:p w14:paraId="57A18446" w14:textId="437FEFC4" w:rsidR="00EF4434" w:rsidRPr="00EF4434" w:rsidRDefault="009B27B9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9B27B9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Cultural value monitoring</w:t>
            </w:r>
            <w:r w:rsidR="00EF4434"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Tool</w:t>
            </w:r>
          </w:p>
        </w:tc>
      </w:tr>
      <w:tr w:rsidR="009B27B9" w:rsidRPr="0068534A" w14:paraId="33233415" w14:textId="77777777" w:rsidTr="000836A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E892D91" w14:textId="561028BA" w:rsidR="009B27B9" w:rsidRPr="009B27B9" w:rsidRDefault="009B27B9" w:rsidP="009B27B9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Value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dimension</w:t>
            </w:r>
            <w:proofErr w:type="spellEnd"/>
          </w:p>
        </w:tc>
        <w:tc>
          <w:tcPr>
            <w:tcW w:w="2335" w:type="dxa"/>
            <w:shd w:val="clear" w:color="auto" w:fill="D9D9D9" w:themeFill="background1" w:themeFillShade="D9"/>
            <w:hideMark/>
          </w:tcPr>
          <w:p w14:paraId="1708C17F" w14:textId="62FF7A90" w:rsidR="009B27B9" w:rsidRPr="009B27B9" w:rsidRDefault="009B27B9" w:rsidP="009B27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Assessment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of</w:t>
            </w:r>
            <w:proofErr w:type="spellEnd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the</w:t>
            </w:r>
            <w:proofErr w:type="spellEnd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culture</w:t>
            </w:r>
            <w:proofErr w:type="spellEnd"/>
          </w:p>
        </w:tc>
        <w:tc>
          <w:tcPr>
            <w:tcW w:w="2485" w:type="dxa"/>
            <w:shd w:val="clear" w:color="auto" w:fill="D9D9D9" w:themeFill="background1" w:themeFillShade="D9"/>
            <w:vAlign w:val="center"/>
            <w:hideMark/>
          </w:tcPr>
          <w:p w14:paraId="1A1763D4" w14:textId="505887E8" w:rsidR="009B27B9" w:rsidRPr="009B27B9" w:rsidRDefault="009B27B9" w:rsidP="009B27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1331" w:type="dxa"/>
            <w:shd w:val="clear" w:color="auto" w:fill="D9D9D9" w:themeFill="background1" w:themeFillShade="D9"/>
            <w:vAlign w:val="center"/>
            <w:hideMark/>
          </w:tcPr>
          <w:p w14:paraId="7C71BF8F" w14:textId="4EA72641" w:rsidR="009B27B9" w:rsidRPr="009B27B9" w:rsidRDefault="009B27B9" w:rsidP="009B27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Date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E5D7A22" w14:textId="3F7EF408" w:rsidR="009B27B9" w:rsidRPr="009B27B9" w:rsidRDefault="009B27B9" w:rsidP="009B27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Responsible</w:t>
            </w:r>
            <w:proofErr w:type="spellEnd"/>
          </w:p>
        </w:tc>
      </w:tr>
      <w:tr w:rsidR="007C4197" w:rsidRPr="0068534A" w14:paraId="1781E17C" w14:textId="77777777" w:rsidTr="00E262C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91D947" w14:textId="78B1563E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Power </w:t>
            </w: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Distance</w:t>
            </w:r>
            <w:proofErr w:type="spellEnd"/>
          </w:p>
        </w:tc>
        <w:tc>
          <w:tcPr>
            <w:tcW w:w="2335" w:type="dxa"/>
            <w:vAlign w:val="center"/>
          </w:tcPr>
          <w:p w14:paraId="3E4955DB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1E6F7CF7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8F4BCEB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619D15E" w14:textId="6155F068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7C4197" w:rsidRPr="0068534A" w14:paraId="56136F81" w14:textId="77777777" w:rsidTr="004357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CB41FD2" w14:textId="48BF1FC4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Individualism</w:t>
            </w:r>
            <w:proofErr w:type="spellEnd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vs. </w:t>
            </w: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Collectivism</w:t>
            </w:r>
            <w:proofErr w:type="spellEnd"/>
          </w:p>
        </w:tc>
        <w:tc>
          <w:tcPr>
            <w:tcW w:w="2335" w:type="dxa"/>
            <w:vAlign w:val="center"/>
          </w:tcPr>
          <w:p w14:paraId="5535A9F5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06C600C9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BB44B2B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518DE42" w14:textId="2E4EAFA0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7C4197" w:rsidRPr="00414772" w14:paraId="589F5623" w14:textId="77777777" w:rsidTr="00386D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2A9867F" w14:textId="0353865D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9B27B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Motivation Toward Achievement and Success</w:t>
            </w:r>
          </w:p>
        </w:tc>
        <w:tc>
          <w:tcPr>
            <w:tcW w:w="2335" w:type="dxa"/>
            <w:vAlign w:val="center"/>
          </w:tcPr>
          <w:p w14:paraId="7C999FC8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2C93C035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819C0B6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B41712B" w14:textId="6EB47361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7C4197" w:rsidRPr="0068534A" w14:paraId="32A0367B" w14:textId="77777777" w:rsidTr="00386D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56F2A4" w14:textId="10C6EBEC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Unvertainty</w:t>
            </w:r>
            <w:proofErr w:type="spellEnd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Avoidance</w:t>
            </w:r>
            <w:proofErr w:type="spellEnd"/>
          </w:p>
        </w:tc>
        <w:tc>
          <w:tcPr>
            <w:tcW w:w="2335" w:type="dxa"/>
            <w:vAlign w:val="center"/>
          </w:tcPr>
          <w:p w14:paraId="75A76BF2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32E51DB9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AB210F6" w14:textId="77777777" w:rsid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C415D2C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7C4197" w:rsidRPr="00414772" w14:paraId="1FD6E073" w14:textId="77777777" w:rsidTr="00386D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2FADE5" w14:textId="0A54D0A4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9B27B9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Long-Term vs. Short-Term Orientation</w:t>
            </w:r>
          </w:p>
        </w:tc>
        <w:tc>
          <w:tcPr>
            <w:tcW w:w="2335" w:type="dxa"/>
            <w:vAlign w:val="center"/>
          </w:tcPr>
          <w:p w14:paraId="262EF02D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1C0BAD9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9CD0222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8D78A07" w14:textId="77777777" w:rsidR="007C4197" w:rsidRPr="009B27B9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7C4197" w:rsidRPr="0068534A" w14:paraId="020C5511" w14:textId="77777777" w:rsidTr="00386D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58677E" w14:textId="57E3AF77" w:rsidR="007C4197" w:rsidRPr="009B27B9" w:rsidRDefault="009B27B9" w:rsidP="007C4197">
            <w:pPr>
              <w:pStyle w:val="Listenabsatz"/>
              <w:numPr>
                <w:ilvl w:val="0"/>
                <w:numId w:val="18"/>
              </w:numPr>
              <w:ind w:left="209" w:hanging="209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>Indulgence</w:t>
            </w:r>
            <w:proofErr w:type="spellEnd"/>
            <w:r w:rsidRPr="009B27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vs. Restraint</w:t>
            </w:r>
          </w:p>
        </w:tc>
        <w:tc>
          <w:tcPr>
            <w:tcW w:w="2335" w:type="dxa"/>
            <w:vAlign w:val="center"/>
          </w:tcPr>
          <w:p w14:paraId="6D87136E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20147D0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62CE349" w14:textId="77777777" w:rsid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3183092" w14:textId="77777777" w:rsidR="007C4197" w:rsidRPr="007C4197" w:rsidRDefault="007C4197" w:rsidP="007C4197">
            <w:pPr>
              <w:spacing w:after="0" w:line="240" w:lineRule="auto"/>
              <w:ind w:left="30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3A40D01C" w14:textId="77777777" w:rsidR="00051E53" w:rsidRDefault="00051E53">
      <w:r>
        <w:br w:type="page"/>
      </w:r>
    </w:p>
    <w:p w14:paraId="1814A5B9" w14:textId="75E1C748" w:rsidR="00E00828" w:rsidRDefault="00E00828"/>
    <w:tbl>
      <w:tblPr>
        <w:tblStyle w:val="Gitternetztabelle4Akzent6"/>
        <w:tblW w:w="906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709"/>
        <w:gridCol w:w="1275"/>
      </w:tblGrid>
      <w:tr w:rsidR="00757847" w:rsidRPr="00414772" w14:paraId="21883194" w14:textId="77777777" w:rsidTr="009B2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00885E"/>
            <w:vAlign w:val="center"/>
          </w:tcPr>
          <w:p w14:paraId="1018C69D" w14:textId="2D70B952" w:rsidR="00757847" w:rsidRPr="009B27B9" w:rsidRDefault="00757847" w:rsidP="00BC663C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B27B9">
              <w:rPr>
                <w:rFonts w:ascii="Tahoma" w:hAnsi="Tahoma" w:cs="Tahoma"/>
                <w:sz w:val="20"/>
                <w:szCs w:val="20"/>
                <w:lang w:val="en-US"/>
              </w:rPr>
              <w:t>Cultural value monitoring - tool and example (retail company)</w:t>
            </w:r>
          </w:p>
        </w:tc>
      </w:tr>
      <w:tr w:rsidR="00757847" w:rsidRPr="00414772" w14:paraId="17AA1F81" w14:textId="77777777" w:rsidTr="009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  <w:vAlign w:val="center"/>
          </w:tcPr>
          <w:p w14:paraId="00E2CB9E" w14:textId="77777777" w:rsidR="00757847" w:rsidRPr="009B27B9" w:rsidRDefault="00757847" w:rsidP="00BC663C">
            <w:pPr>
              <w:ind w:left="84"/>
              <w:contextualSpacing/>
              <w:jc w:val="both"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 xml:space="preserve">A Central European trading company (M) has acquired a Brazilian company (B) </w:t>
            </w:r>
            <w:proofErr w:type="gramStart"/>
            <w:r w:rsidRPr="009B27B9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>in order to</w:t>
            </w:r>
            <w:proofErr w:type="gramEnd"/>
            <w:r w:rsidRPr="009B27B9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 xml:space="preserve"> develop the South American market. During the integration phase, cultural similarities and differences are monitored </w:t>
            </w:r>
            <w:proofErr w:type="gramStart"/>
            <w:r w:rsidRPr="009B27B9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>in order to</w:t>
            </w:r>
            <w:proofErr w:type="gramEnd"/>
            <w:r w:rsidRPr="009B27B9">
              <w:rPr>
                <w:rFonts w:ascii="Tahoma" w:hAnsi="Tahoma" w:cs="Tahoma"/>
                <w:b w:val="0"/>
                <w:sz w:val="16"/>
                <w:szCs w:val="16"/>
                <w:lang w:val="en-US"/>
              </w:rPr>
              <w:t xml:space="preserve"> ensure professional cooperation at an early stage.</w:t>
            </w:r>
          </w:p>
        </w:tc>
      </w:tr>
      <w:tr w:rsidR="009B27B9" w:rsidRPr="009B27B9" w14:paraId="186B6F56" w14:textId="77777777" w:rsidTr="009B27B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748746B1" w14:textId="77777777" w:rsidR="00757847" w:rsidRPr="009B27B9" w:rsidRDefault="00757847" w:rsidP="00BC663C">
            <w:pPr>
              <w:rPr>
                <w:rFonts w:ascii="Tahoma" w:hAnsi="Tahoma" w:cs="Tahoma"/>
                <w:sz w:val="16"/>
                <w:szCs w:val="16"/>
              </w:rPr>
            </w:pPr>
            <w:r w:rsidRPr="009B27B9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 xml:space="preserve">Value </w:t>
            </w:r>
            <w:proofErr w:type="spellStart"/>
            <w:r w:rsidRPr="009B27B9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dimension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04AFEDCD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Assessment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of</w:t>
            </w:r>
            <w:proofErr w:type="spellEnd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the</w:t>
            </w:r>
            <w:proofErr w:type="spellEnd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culture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6C428625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4F212DE1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Date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6E9F511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9B27B9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Responsible</w:t>
            </w:r>
            <w:proofErr w:type="spellEnd"/>
          </w:p>
        </w:tc>
      </w:tr>
      <w:tr w:rsidR="009B27B9" w:rsidRPr="009B27B9" w14:paraId="3155D733" w14:textId="77777777" w:rsidTr="009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6C9AE7C4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sz w:val="16"/>
                <w:szCs w:val="16"/>
              </w:rPr>
              <w:t xml:space="preserve">Power </w:t>
            </w: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Distance</w:t>
            </w:r>
            <w:proofErr w:type="spellEnd"/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0DBA4CE2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Strong hierarchy (B) versus participative, open approach (M)</w:t>
            </w:r>
          </w:p>
          <w:p w14:paraId="3F242530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Dominance of individual power circles (B)</w:t>
            </w:r>
          </w:p>
        </w:tc>
        <w:tc>
          <w:tcPr>
            <w:tcW w:w="2410" w:type="dxa"/>
            <w:shd w:val="clear" w:color="auto" w:fill="FFFFFF" w:themeFill="background1"/>
          </w:tcPr>
          <w:p w14:paraId="68B366EB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Start of joint management development with a focus on change and culture</w:t>
            </w:r>
          </w:p>
        </w:tc>
        <w:tc>
          <w:tcPr>
            <w:tcW w:w="709" w:type="dxa"/>
            <w:shd w:val="clear" w:color="auto" w:fill="FFFFFF" w:themeFill="background1"/>
          </w:tcPr>
          <w:p w14:paraId="45804653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30.04</w:t>
            </w:r>
          </w:p>
        </w:tc>
        <w:tc>
          <w:tcPr>
            <w:tcW w:w="1275" w:type="dxa"/>
            <w:shd w:val="clear" w:color="auto" w:fill="FFFFFF" w:themeFill="background1"/>
          </w:tcPr>
          <w:p w14:paraId="6516A8C7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Berger</w:t>
            </w:r>
          </w:p>
        </w:tc>
      </w:tr>
      <w:tr w:rsidR="009B27B9" w:rsidRPr="009B27B9" w14:paraId="514E6F05" w14:textId="77777777" w:rsidTr="009B27B9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D9D9D9" w:themeFill="background1" w:themeFillShade="D9"/>
            <w:vAlign w:val="center"/>
          </w:tcPr>
          <w:p w14:paraId="452D9180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33AA67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1CEF28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Definitive </w:t>
            </w:r>
            <w:proofErr w:type="spell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management</w:t>
            </w:r>
            <w:proofErr w:type="spellEnd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decisions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460FC526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30.04</w:t>
            </w:r>
          </w:p>
        </w:tc>
        <w:tc>
          <w:tcPr>
            <w:tcW w:w="1275" w:type="dxa"/>
            <w:shd w:val="clear" w:color="auto" w:fill="FFFFFF" w:themeFill="background1"/>
          </w:tcPr>
          <w:p w14:paraId="660B0F14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Larcher / </w:t>
            </w:r>
            <w:proofErr w:type="spell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Rusoff</w:t>
            </w:r>
            <w:proofErr w:type="spellEnd"/>
          </w:p>
        </w:tc>
      </w:tr>
      <w:tr w:rsidR="009B27B9" w:rsidRPr="009B27B9" w14:paraId="31E186CA" w14:textId="77777777" w:rsidTr="009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4905FD37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Individualism</w:t>
            </w:r>
            <w:proofErr w:type="spellEnd"/>
            <w:r w:rsidRPr="009B27B9">
              <w:rPr>
                <w:rFonts w:ascii="Tahoma" w:hAnsi="Tahoma" w:cs="Tahoma"/>
                <w:sz w:val="16"/>
                <w:szCs w:val="16"/>
              </w:rPr>
              <w:t xml:space="preserve"> vs. </w:t>
            </w: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Collectivism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05CFFE20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So far, </w:t>
            </w:r>
            <w:proofErr w:type="gram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strongly</w:t>
            </w:r>
            <w:proofErr w:type="gramEnd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individualistic characteristics in both cultures (B) and (M)</w:t>
            </w:r>
          </w:p>
          <w:p w14:paraId="1754CE9F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Collectivist attitude of younger employees in both companies</w:t>
            </w:r>
          </w:p>
        </w:tc>
        <w:tc>
          <w:tcPr>
            <w:tcW w:w="2410" w:type="dxa"/>
            <w:shd w:val="clear" w:color="auto" w:fill="FFFFFF" w:themeFill="background1"/>
          </w:tcPr>
          <w:p w14:paraId="2B8757B2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Special monitoring of younger employees and managers </w:t>
            </w:r>
            <w:proofErr w:type="gram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with regard to</w:t>
            </w:r>
            <w:proofErr w:type="gramEnd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 xml:space="preserve"> purpose and work-life balance (possibly conflict lines with the "old core workforce")</w:t>
            </w:r>
          </w:p>
        </w:tc>
        <w:tc>
          <w:tcPr>
            <w:tcW w:w="709" w:type="dxa"/>
            <w:shd w:val="clear" w:color="auto" w:fill="FFFFFF" w:themeFill="background1"/>
          </w:tcPr>
          <w:p w14:paraId="023C0868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30.06.</w:t>
            </w:r>
          </w:p>
        </w:tc>
        <w:tc>
          <w:tcPr>
            <w:tcW w:w="1275" w:type="dxa"/>
            <w:shd w:val="clear" w:color="auto" w:fill="FFFFFF" w:themeFill="background1"/>
          </w:tcPr>
          <w:p w14:paraId="541B2EDC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Miller</w:t>
            </w:r>
          </w:p>
        </w:tc>
      </w:tr>
      <w:tr w:rsidR="009B27B9" w:rsidRPr="009B27B9" w14:paraId="480B348F" w14:textId="77777777" w:rsidTr="009B27B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33FCCE32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sz w:val="16"/>
                <w:szCs w:val="16"/>
                <w:lang w:val="en-US"/>
              </w:rPr>
              <w:t>Motivation Toward Achievement and Success</w:t>
            </w:r>
          </w:p>
        </w:tc>
        <w:tc>
          <w:tcPr>
            <w:tcW w:w="2551" w:type="dxa"/>
            <w:shd w:val="clear" w:color="auto" w:fill="FFFFFF" w:themeFill="background1"/>
          </w:tcPr>
          <w:p w14:paraId="047F33B4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Consistent culture in terms of focus on results, decisiveness...</w:t>
            </w:r>
          </w:p>
        </w:tc>
        <w:tc>
          <w:tcPr>
            <w:tcW w:w="2410" w:type="dxa"/>
            <w:shd w:val="clear" w:color="auto" w:fill="FFFFFF" w:themeFill="background1"/>
          </w:tcPr>
          <w:p w14:paraId="1EEF2435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shd w:val="clear" w:color="auto" w:fill="FFFFFF" w:themeFill="background1"/>
          </w:tcPr>
          <w:p w14:paraId="574CD859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- </w:t>
            </w:r>
          </w:p>
        </w:tc>
        <w:tc>
          <w:tcPr>
            <w:tcW w:w="1275" w:type="dxa"/>
            <w:shd w:val="clear" w:color="auto" w:fill="FFFFFF" w:themeFill="background1"/>
          </w:tcPr>
          <w:p w14:paraId="3A14B908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- </w:t>
            </w:r>
          </w:p>
        </w:tc>
      </w:tr>
      <w:tr w:rsidR="009B27B9" w:rsidRPr="009B27B9" w14:paraId="1E8077FB" w14:textId="77777777" w:rsidTr="009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70EC24D1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Unvertainty</w:t>
            </w:r>
            <w:proofErr w:type="spellEnd"/>
            <w:r w:rsidRPr="009B27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Avoidance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2E4D6215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Strongly conservative, past-oriented culture (M)</w:t>
            </w:r>
          </w:p>
          <w:p w14:paraId="69B898B7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Great flexibility and a pronounced culture of change (B)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7A38E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Joint development of a strategy for the future with representatives from (M) and (B) due to the potential for conflict</w:t>
            </w:r>
          </w:p>
        </w:tc>
        <w:tc>
          <w:tcPr>
            <w:tcW w:w="709" w:type="dxa"/>
            <w:shd w:val="clear" w:color="auto" w:fill="FFFFFF" w:themeFill="background1"/>
          </w:tcPr>
          <w:p w14:paraId="2ADA8130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30.09.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1B9AD8EB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Chairmen </w:t>
            </w:r>
            <w:proofErr w:type="spell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of</w:t>
            </w:r>
            <w:proofErr w:type="spellEnd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the</w:t>
            </w:r>
            <w:proofErr w:type="spellEnd"/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Board</w:t>
            </w:r>
          </w:p>
        </w:tc>
      </w:tr>
      <w:tr w:rsidR="009B27B9" w:rsidRPr="009B27B9" w14:paraId="593034F8" w14:textId="77777777" w:rsidTr="009B27B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41878C09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sz w:val="16"/>
                <w:szCs w:val="16"/>
                <w:lang w:val="en-US"/>
              </w:rPr>
              <w:t>Long-Term vs. Short-Term Orientation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0814036C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Traditional long-term thinking (M) versus short-term shareholder approach (B)</w:t>
            </w:r>
          </w:p>
          <w:p w14:paraId="02D40B06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410" w:type="dxa"/>
            <w:shd w:val="clear" w:color="auto" w:fill="FFFFFF" w:themeFill="background1"/>
          </w:tcPr>
          <w:p w14:paraId="1BB78EEB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709" w:type="dxa"/>
            <w:shd w:val="clear" w:color="auto" w:fill="FFFFFF" w:themeFill="background1"/>
          </w:tcPr>
          <w:p w14:paraId="6BF28784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1275" w:type="dxa"/>
            <w:shd w:val="clear" w:color="auto" w:fill="FFFFFF" w:themeFill="background1"/>
          </w:tcPr>
          <w:p w14:paraId="5245C1FF" w14:textId="77777777" w:rsidR="00757847" w:rsidRPr="009B27B9" w:rsidRDefault="00757847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</w:p>
        </w:tc>
      </w:tr>
      <w:tr w:rsidR="009B27B9" w:rsidRPr="009B27B9" w14:paraId="72F7A89A" w14:textId="77777777" w:rsidTr="009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296CE610" w14:textId="77777777" w:rsidR="00757847" w:rsidRPr="009B27B9" w:rsidRDefault="00757847" w:rsidP="00757847">
            <w:pPr>
              <w:pStyle w:val="Listenabsatz"/>
              <w:numPr>
                <w:ilvl w:val="0"/>
                <w:numId w:val="20"/>
              </w:numPr>
              <w:ind w:left="224" w:hanging="224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B27B9">
              <w:rPr>
                <w:rFonts w:ascii="Tahoma" w:hAnsi="Tahoma" w:cs="Tahoma"/>
                <w:sz w:val="16"/>
                <w:szCs w:val="16"/>
              </w:rPr>
              <w:t>Indulgence</w:t>
            </w:r>
            <w:proofErr w:type="spellEnd"/>
            <w:r w:rsidRPr="009B27B9">
              <w:rPr>
                <w:rFonts w:ascii="Tahoma" w:hAnsi="Tahoma" w:cs="Tahoma"/>
                <w:sz w:val="16"/>
                <w:szCs w:val="16"/>
              </w:rPr>
              <w:t xml:space="preserve"> vs. Restraint</w:t>
            </w:r>
          </w:p>
        </w:tc>
        <w:tc>
          <w:tcPr>
            <w:tcW w:w="2551" w:type="dxa"/>
            <w:shd w:val="clear" w:color="auto" w:fill="FFFFFF" w:themeFill="background1"/>
          </w:tcPr>
          <w:p w14:paraId="51C2B0BA" w14:textId="77777777" w:rsidR="00757847" w:rsidRPr="009B27B9" w:rsidRDefault="00757847" w:rsidP="00757847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02C343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9B27B9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709" w:type="dxa"/>
            <w:shd w:val="clear" w:color="auto" w:fill="FFFFFF" w:themeFill="background1"/>
          </w:tcPr>
          <w:p w14:paraId="4609A633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B39C997" w14:textId="77777777" w:rsidR="00757847" w:rsidRPr="009B27B9" w:rsidRDefault="00757847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</w:p>
        </w:tc>
      </w:tr>
    </w:tbl>
    <w:p w14:paraId="7B1BD5B0" w14:textId="77777777" w:rsidR="00074635" w:rsidRDefault="00074635"/>
    <w:sectPr w:rsidR="00074635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E31F" w14:textId="77777777" w:rsidR="009B27B9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="009B27B9">
      <w:rPr>
        <w:rFonts w:ascii="Tahoma" w:hAnsi="Tahoma" w:cs="Tahoma"/>
        <w:sz w:val="16"/>
        <w:szCs w:val="16"/>
        <w:lang w:val="en-US"/>
      </w:rPr>
      <w:t xml:space="preserve">Imprint: </w:t>
    </w:r>
    <w:r w:rsidR="009B27B9" w:rsidRPr="009B27B9">
      <w:rPr>
        <w:rFonts w:ascii="Tahoma" w:hAnsi="Tahoma" w:cs="Tahoma"/>
        <w:sz w:val="16"/>
        <w:szCs w:val="16"/>
        <w:lang w:val="en-US"/>
      </w:rPr>
      <w:t>improve applied insights – issue #56 | March 2025</w:t>
    </w:r>
    <w:r w:rsidR="009B27B9">
      <w:rPr>
        <w:rFonts w:ascii="Tahoma" w:hAnsi="Tahoma" w:cs="Tahoma"/>
        <w:sz w:val="16"/>
        <w:szCs w:val="16"/>
        <w:lang w:val="en-US"/>
      </w:rPr>
      <w:t xml:space="preserve"> </w:t>
    </w:r>
  </w:p>
  <w:p w14:paraId="1E6DDDD9" w14:textId="4CA7F7F9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09021F25" w:rsidR="00DB3965" w:rsidRPr="00A62897" w:rsidRDefault="00D6187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A25B7"/>
    <w:multiLevelType w:val="hybridMultilevel"/>
    <w:tmpl w:val="72F0E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21E5"/>
    <w:multiLevelType w:val="hybridMultilevel"/>
    <w:tmpl w:val="1CFE7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552780"/>
    <w:multiLevelType w:val="hybridMultilevel"/>
    <w:tmpl w:val="0FB85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4871">
    <w:abstractNumId w:val="12"/>
  </w:num>
  <w:num w:numId="2" w16cid:durableId="792673103">
    <w:abstractNumId w:val="3"/>
  </w:num>
  <w:num w:numId="3" w16cid:durableId="330639615">
    <w:abstractNumId w:val="17"/>
  </w:num>
  <w:num w:numId="4" w16cid:durableId="497966979">
    <w:abstractNumId w:val="8"/>
  </w:num>
  <w:num w:numId="5" w16cid:durableId="2021854064">
    <w:abstractNumId w:val="6"/>
  </w:num>
  <w:num w:numId="6" w16cid:durableId="354699776">
    <w:abstractNumId w:val="2"/>
  </w:num>
  <w:num w:numId="7" w16cid:durableId="1934051381">
    <w:abstractNumId w:val="0"/>
  </w:num>
  <w:num w:numId="8" w16cid:durableId="1965386223">
    <w:abstractNumId w:val="5"/>
  </w:num>
  <w:num w:numId="9" w16cid:durableId="1871643512">
    <w:abstractNumId w:val="18"/>
  </w:num>
  <w:num w:numId="10" w16cid:durableId="370810824">
    <w:abstractNumId w:val="13"/>
  </w:num>
  <w:num w:numId="11" w16cid:durableId="1237011604">
    <w:abstractNumId w:val="15"/>
  </w:num>
  <w:num w:numId="12" w16cid:durableId="89007979">
    <w:abstractNumId w:val="11"/>
  </w:num>
  <w:num w:numId="13" w16cid:durableId="938760270">
    <w:abstractNumId w:val="16"/>
  </w:num>
  <w:num w:numId="14" w16cid:durableId="472604360">
    <w:abstractNumId w:val="1"/>
  </w:num>
  <w:num w:numId="15" w16cid:durableId="1301109227">
    <w:abstractNumId w:val="4"/>
  </w:num>
  <w:num w:numId="16" w16cid:durableId="1792702273">
    <w:abstractNumId w:val="10"/>
  </w:num>
  <w:num w:numId="17" w16cid:durableId="1871526536">
    <w:abstractNumId w:val="14"/>
  </w:num>
  <w:num w:numId="18" w16cid:durableId="538400392">
    <w:abstractNumId w:val="19"/>
  </w:num>
  <w:num w:numId="19" w16cid:durableId="1375689644">
    <w:abstractNumId w:val="9"/>
  </w:num>
  <w:num w:numId="20" w16cid:durableId="1010059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41EE4"/>
    <w:rsid w:val="00051E53"/>
    <w:rsid w:val="00054FD5"/>
    <w:rsid w:val="00074635"/>
    <w:rsid w:val="00092735"/>
    <w:rsid w:val="00181251"/>
    <w:rsid w:val="001A1F68"/>
    <w:rsid w:val="002154FA"/>
    <w:rsid w:val="002722F0"/>
    <w:rsid w:val="002C4F78"/>
    <w:rsid w:val="002F64F9"/>
    <w:rsid w:val="00310A39"/>
    <w:rsid w:val="00311A33"/>
    <w:rsid w:val="00353321"/>
    <w:rsid w:val="00376367"/>
    <w:rsid w:val="0039145F"/>
    <w:rsid w:val="003A1F2C"/>
    <w:rsid w:val="00414772"/>
    <w:rsid w:val="00450452"/>
    <w:rsid w:val="004C3F85"/>
    <w:rsid w:val="004C7BEA"/>
    <w:rsid w:val="004E0B01"/>
    <w:rsid w:val="0061505D"/>
    <w:rsid w:val="00684D73"/>
    <w:rsid w:val="006E032F"/>
    <w:rsid w:val="00755AF7"/>
    <w:rsid w:val="00756D52"/>
    <w:rsid w:val="00757847"/>
    <w:rsid w:val="00764FD7"/>
    <w:rsid w:val="007B4A27"/>
    <w:rsid w:val="007C4197"/>
    <w:rsid w:val="00817495"/>
    <w:rsid w:val="0086766F"/>
    <w:rsid w:val="009B27B9"/>
    <w:rsid w:val="009C3C35"/>
    <w:rsid w:val="00A12BD7"/>
    <w:rsid w:val="00A45012"/>
    <w:rsid w:val="00AF6CA2"/>
    <w:rsid w:val="00BA0F4D"/>
    <w:rsid w:val="00BA783A"/>
    <w:rsid w:val="00BD5990"/>
    <w:rsid w:val="00C9241A"/>
    <w:rsid w:val="00CD1245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DE5B6E"/>
    <w:rsid w:val="00E00828"/>
    <w:rsid w:val="00EB7E7C"/>
    <w:rsid w:val="00EC5D2A"/>
    <w:rsid w:val="00EF4434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h-kufstein.ac.at/en/Home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schemas.microsoft.com/office/2006/documentManagement/types"/>
    <ds:schemaRef ds:uri="0c5fb65c-1808-44a2-9e5e-e60506defe86"/>
    <ds:schemaRef ds:uri="http://purl.org/dc/dcmitype/"/>
    <ds:schemaRef ds:uri="http://schemas.microsoft.com/office/infopath/2007/PartnerControls"/>
    <ds:schemaRef ds:uri="bda11ee6-c8db-4c9d-b40b-82d2b801b11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5</cp:revision>
  <dcterms:created xsi:type="dcterms:W3CDTF">2025-09-03T15:23:00Z</dcterms:created>
  <dcterms:modified xsi:type="dcterms:W3CDTF">2025-09-03T15:46:00Z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