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5FCDDEA3" w:rsidR="00297F8F" w:rsidRDefault="00D6187F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>WERKZEUG</w:t>
      </w:r>
      <w:r w:rsidR="002C4F78"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 xml:space="preserve"> UND Beispiel</w:t>
      </w:r>
    </w:p>
    <w:tbl>
      <w:tblPr>
        <w:tblW w:w="0" w:type="auto"/>
        <w:tblInd w:w="108" w:type="dxa"/>
        <w:tblBorders>
          <w:top w:val="single" w:sz="2" w:space="0" w:color="70AD47" w:themeColor="accent6"/>
          <w:left w:val="single" w:sz="2" w:space="0" w:color="70AD47" w:themeColor="accent6"/>
          <w:bottom w:val="single" w:sz="2" w:space="0" w:color="70AD47" w:themeColor="accent6"/>
          <w:right w:val="single" w:sz="2" w:space="0" w:color="70AD47" w:themeColor="accent6"/>
          <w:insideH w:val="single" w:sz="2" w:space="0" w:color="70AD47" w:themeColor="accent6"/>
          <w:insideV w:val="single" w:sz="2" w:space="0" w:color="70AD47" w:themeColor="accent6"/>
        </w:tblBorders>
        <w:tblLook w:val="04A0" w:firstRow="1" w:lastRow="0" w:firstColumn="1" w:lastColumn="0" w:noHBand="0" w:noVBand="1"/>
      </w:tblPr>
      <w:tblGrid>
        <w:gridCol w:w="2379"/>
        <w:gridCol w:w="6"/>
        <w:gridCol w:w="4430"/>
        <w:gridCol w:w="985"/>
        <w:gridCol w:w="1156"/>
      </w:tblGrid>
      <w:tr w:rsidR="00A50EEA" w:rsidRPr="00A50EEA" w14:paraId="0F66C623" w14:textId="77777777" w:rsidTr="00297F8F">
        <w:tc>
          <w:tcPr>
            <w:tcW w:w="8956" w:type="dxa"/>
            <w:gridSpan w:val="5"/>
            <w:shd w:val="clear" w:color="auto" w:fill="00885E"/>
            <w:vAlign w:val="center"/>
          </w:tcPr>
          <w:p w14:paraId="216088A4" w14:textId="77777777" w:rsidR="00A50EEA" w:rsidRPr="00A50EEA" w:rsidRDefault="00A50EEA" w:rsidP="00471564">
            <w:pPr>
              <w:spacing w:before="120" w:line="276" w:lineRule="auto"/>
              <w:rPr>
                <w:rFonts w:ascii="Tahoma" w:hAnsi="Tahoma" w:cs="Tahoma"/>
                <w:b/>
                <w:iCs/>
                <w:color w:val="FFFFFF"/>
                <w:sz w:val="20"/>
                <w:szCs w:val="20"/>
              </w:rPr>
            </w:pPr>
            <w:r w:rsidRPr="00A50EEA">
              <w:rPr>
                <w:rFonts w:ascii="Tahoma" w:hAnsi="Tahoma" w:cs="Tahoma"/>
                <w:b/>
                <w:iCs/>
                <w:color w:val="FFFFFF"/>
                <w:sz w:val="20"/>
                <w:szCs w:val="20"/>
              </w:rPr>
              <w:t>Personalengpass-Strategie: Werkzeug</w:t>
            </w:r>
          </w:p>
        </w:tc>
      </w:tr>
      <w:tr w:rsidR="00A50EEA" w:rsidRPr="00A50EEA" w14:paraId="4ADABB31" w14:textId="77777777" w:rsidTr="00297F8F">
        <w:tc>
          <w:tcPr>
            <w:tcW w:w="8956" w:type="dxa"/>
            <w:gridSpan w:val="5"/>
            <w:shd w:val="clear" w:color="auto" w:fill="D9D9D9" w:themeFill="background1" w:themeFillShade="D9"/>
            <w:vAlign w:val="center"/>
          </w:tcPr>
          <w:p w14:paraId="74CBD5EC" w14:textId="77777777" w:rsidR="00A50EEA" w:rsidRPr="00A50EEA" w:rsidRDefault="00A50EEA" w:rsidP="00471564">
            <w:pPr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A. Personalengpass-Strategie: Einschätzung der Situation</w:t>
            </w:r>
          </w:p>
        </w:tc>
      </w:tr>
      <w:tr w:rsidR="00A50EEA" w:rsidRPr="00A50EEA" w14:paraId="1ACD360B" w14:textId="77777777" w:rsidTr="00297F8F">
        <w:tc>
          <w:tcPr>
            <w:tcW w:w="2386" w:type="dxa"/>
            <w:gridSpan w:val="2"/>
            <w:shd w:val="clear" w:color="auto" w:fill="D9D9D9" w:themeFill="background1" w:themeFillShade="D9"/>
            <w:vAlign w:val="center"/>
          </w:tcPr>
          <w:p w14:paraId="444C1567" w14:textId="77777777" w:rsidR="00A50EEA" w:rsidRPr="00A50EEA" w:rsidRDefault="00A50EEA" w:rsidP="00A50EEA">
            <w:pPr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Baustein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  <w:vAlign w:val="center"/>
          </w:tcPr>
          <w:p w14:paraId="35DDD8A6" w14:textId="77777777" w:rsidR="00A50EEA" w:rsidRPr="00A50EEA" w:rsidRDefault="00A50EEA" w:rsidP="00A50EEA">
            <w:pPr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Einschätzung</w:t>
            </w:r>
          </w:p>
        </w:tc>
      </w:tr>
      <w:tr w:rsidR="00A50EEA" w:rsidRPr="00A50EEA" w14:paraId="675B68DD" w14:textId="77777777" w:rsidTr="00297F8F">
        <w:tc>
          <w:tcPr>
            <w:tcW w:w="2386" w:type="dxa"/>
            <w:gridSpan w:val="2"/>
            <w:vAlign w:val="center"/>
          </w:tcPr>
          <w:p w14:paraId="4D9F0063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1. Veränderung des Geschäftsmodells</w:t>
            </w:r>
          </w:p>
        </w:tc>
        <w:tc>
          <w:tcPr>
            <w:tcW w:w="6570" w:type="dxa"/>
            <w:gridSpan w:val="3"/>
            <w:vAlign w:val="center"/>
          </w:tcPr>
          <w:p w14:paraId="67DEBF3D" w14:textId="20EB5619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0C0B05E5" w14:textId="77777777" w:rsidTr="00297F8F">
        <w:tc>
          <w:tcPr>
            <w:tcW w:w="2386" w:type="dxa"/>
            <w:gridSpan w:val="2"/>
            <w:vAlign w:val="center"/>
          </w:tcPr>
          <w:p w14:paraId="38D2E118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2. Nutzung von Digitalisierung und KI</w:t>
            </w:r>
          </w:p>
        </w:tc>
        <w:tc>
          <w:tcPr>
            <w:tcW w:w="6570" w:type="dxa"/>
            <w:gridSpan w:val="3"/>
            <w:vAlign w:val="center"/>
          </w:tcPr>
          <w:p w14:paraId="0D122466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63125176" w14:textId="77777777" w:rsidTr="00297F8F">
        <w:tc>
          <w:tcPr>
            <w:tcW w:w="2386" w:type="dxa"/>
            <w:gridSpan w:val="2"/>
            <w:vAlign w:val="center"/>
          </w:tcPr>
          <w:p w14:paraId="1DEDD572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3. Gestaltung der neuen Arbeitswelten</w:t>
            </w:r>
          </w:p>
        </w:tc>
        <w:tc>
          <w:tcPr>
            <w:tcW w:w="6570" w:type="dxa"/>
            <w:gridSpan w:val="3"/>
            <w:vAlign w:val="center"/>
          </w:tcPr>
          <w:p w14:paraId="4822332E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077B8F99" w14:textId="77777777" w:rsidTr="00297F8F">
        <w:tc>
          <w:tcPr>
            <w:tcW w:w="2386" w:type="dxa"/>
            <w:gridSpan w:val="2"/>
            <w:vAlign w:val="center"/>
          </w:tcPr>
          <w:p w14:paraId="50CC0F55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4. Berücksichtigung des Führungskräfte-Mangels</w:t>
            </w:r>
          </w:p>
        </w:tc>
        <w:tc>
          <w:tcPr>
            <w:tcW w:w="6570" w:type="dxa"/>
            <w:gridSpan w:val="3"/>
            <w:vAlign w:val="center"/>
          </w:tcPr>
          <w:p w14:paraId="3F750632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2142BB93" w14:textId="77777777" w:rsidTr="00297F8F">
        <w:tc>
          <w:tcPr>
            <w:tcW w:w="2386" w:type="dxa"/>
            <w:gridSpan w:val="2"/>
            <w:vAlign w:val="center"/>
          </w:tcPr>
          <w:p w14:paraId="2A40957C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5. Berücksichtigung politischer Initiativen</w:t>
            </w:r>
          </w:p>
        </w:tc>
        <w:tc>
          <w:tcPr>
            <w:tcW w:w="6570" w:type="dxa"/>
            <w:gridSpan w:val="3"/>
            <w:vAlign w:val="center"/>
          </w:tcPr>
          <w:p w14:paraId="0AB372AB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38A9021D" w14:textId="77777777" w:rsidTr="00297F8F">
        <w:tc>
          <w:tcPr>
            <w:tcW w:w="2386" w:type="dxa"/>
            <w:gridSpan w:val="2"/>
            <w:vAlign w:val="center"/>
          </w:tcPr>
          <w:p w14:paraId="1822CBC0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6. Einrichtung eines Risiko-Radars</w:t>
            </w:r>
          </w:p>
        </w:tc>
        <w:tc>
          <w:tcPr>
            <w:tcW w:w="6570" w:type="dxa"/>
            <w:gridSpan w:val="3"/>
            <w:vAlign w:val="center"/>
          </w:tcPr>
          <w:p w14:paraId="09EF33F5" w14:textId="77777777" w:rsidR="00A50EEA" w:rsidRPr="00A50EEA" w:rsidRDefault="00A50EEA" w:rsidP="00A50EEA">
            <w:pPr>
              <w:pStyle w:val="Listenabsatz"/>
              <w:numPr>
                <w:ilvl w:val="0"/>
                <w:numId w:val="20"/>
              </w:numPr>
              <w:spacing w:before="120" w:after="0" w:line="276" w:lineRule="auto"/>
              <w:ind w:left="460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3F96C92D" w14:textId="77777777" w:rsidTr="00297F8F">
        <w:tc>
          <w:tcPr>
            <w:tcW w:w="8956" w:type="dxa"/>
            <w:gridSpan w:val="5"/>
            <w:shd w:val="clear" w:color="auto" w:fill="D9D9D9" w:themeFill="background1" w:themeFillShade="D9"/>
            <w:vAlign w:val="center"/>
          </w:tcPr>
          <w:p w14:paraId="46C2F0A5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B. Personalengpass-Strategie: Umsetzung</w:t>
            </w:r>
          </w:p>
        </w:tc>
      </w:tr>
      <w:tr w:rsidR="00A50EEA" w:rsidRPr="00A50EEA" w14:paraId="2A68E66D" w14:textId="77777777" w:rsidTr="00297F8F">
        <w:tc>
          <w:tcPr>
            <w:tcW w:w="2386" w:type="dxa"/>
            <w:gridSpan w:val="2"/>
            <w:shd w:val="clear" w:color="auto" w:fill="D9D9D9" w:themeFill="background1" w:themeFillShade="D9"/>
            <w:vAlign w:val="center"/>
          </w:tcPr>
          <w:p w14:paraId="16B09805" w14:textId="77777777" w:rsidR="00A50EEA" w:rsidRPr="00A50EEA" w:rsidRDefault="00A50EEA" w:rsidP="00A50EEA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Baustein</w:t>
            </w:r>
          </w:p>
        </w:tc>
        <w:tc>
          <w:tcPr>
            <w:tcW w:w="4429" w:type="dxa"/>
            <w:shd w:val="clear" w:color="auto" w:fill="D9D9D9" w:themeFill="background1" w:themeFillShade="D9"/>
            <w:vAlign w:val="center"/>
          </w:tcPr>
          <w:p w14:paraId="0FC4B509" w14:textId="77777777" w:rsidR="00A50EEA" w:rsidRPr="00A50EEA" w:rsidRDefault="00A50EEA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Maßnahme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0861DD1C" w14:textId="77777777" w:rsidR="00A50EEA" w:rsidRPr="00A50EEA" w:rsidRDefault="00A50EEA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Termin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D6C2F8C" w14:textId="77777777" w:rsidR="00A50EEA" w:rsidRPr="00A50EEA" w:rsidRDefault="00A50EEA" w:rsidP="00A50EEA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Verantw.</w:t>
            </w:r>
          </w:p>
        </w:tc>
      </w:tr>
      <w:tr w:rsidR="00A50EEA" w:rsidRPr="00A50EEA" w14:paraId="4A81784F" w14:textId="77777777" w:rsidTr="00297F8F">
        <w:tc>
          <w:tcPr>
            <w:tcW w:w="2386" w:type="dxa"/>
            <w:gridSpan w:val="2"/>
            <w:vAlign w:val="center"/>
          </w:tcPr>
          <w:p w14:paraId="155CB1E7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1. Veränderung des Geschäftsmodells</w:t>
            </w:r>
          </w:p>
        </w:tc>
        <w:tc>
          <w:tcPr>
            <w:tcW w:w="4429" w:type="dxa"/>
            <w:vAlign w:val="center"/>
          </w:tcPr>
          <w:p w14:paraId="20219747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43B546A6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C642F90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42785326" w14:textId="77777777" w:rsidTr="00297F8F">
        <w:tc>
          <w:tcPr>
            <w:tcW w:w="2386" w:type="dxa"/>
            <w:gridSpan w:val="2"/>
            <w:vAlign w:val="center"/>
          </w:tcPr>
          <w:p w14:paraId="63F15619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2. Nutzung von Digitalisierung und KI</w:t>
            </w:r>
          </w:p>
        </w:tc>
        <w:tc>
          <w:tcPr>
            <w:tcW w:w="4429" w:type="dxa"/>
            <w:vAlign w:val="center"/>
          </w:tcPr>
          <w:p w14:paraId="3C80F066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39934170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1422AFF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57D6421B" w14:textId="77777777" w:rsidTr="00297F8F">
        <w:tc>
          <w:tcPr>
            <w:tcW w:w="2386" w:type="dxa"/>
            <w:gridSpan w:val="2"/>
            <w:vAlign w:val="center"/>
          </w:tcPr>
          <w:p w14:paraId="1D1AC2D5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3. Gestaltung der neuen Arbeitswelten</w:t>
            </w:r>
          </w:p>
        </w:tc>
        <w:tc>
          <w:tcPr>
            <w:tcW w:w="4429" w:type="dxa"/>
            <w:vAlign w:val="center"/>
          </w:tcPr>
          <w:p w14:paraId="26B119AE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7332F9CE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5A64CA0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65850DEE" w14:textId="77777777" w:rsidTr="00297F8F">
        <w:tc>
          <w:tcPr>
            <w:tcW w:w="2386" w:type="dxa"/>
            <w:gridSpan w:val="2"/>
            <w:vAlign w:val="center"/>
          </w:tcPr>
          <w:p w14:paraId="51B2F78D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4. Berücksichtigung des Führungskräfte-Mangels</w:t>
            </w:r>
          </w:p>
        </w:tc>
        <w:tc>
          <w:tcPr>
            <w:tcW w:w="4429" w:type="dxa"/>
            <w:vAlign w:val="center"/>
          </w:tcPr>
          <w:p w14:paraId="59CFABB8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0EFBA756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74F3A86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44C5E463" w14:textId="77777777" w:rsidTr="00297F8F">
        <w:tc>
          <w:tcPr>
            <w:tcW w:w="2386" w:type="dxa"/>
            <w:gridSpan w:val="2"/>
            <w:vAlign w:val="center"/>
          </w:tcPr>
          <w:p w14:paraId="3C7448D7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5. Berücksichtigung politischer Initiativen</w:t>
            </w:r>
          </w:p>
        </w:tc>
        <w:tc>
          <w:tcPr>
            <w:tcW w:w="4429" w:type="dxa"/>
            <w:vAlign w:val="center"/>
          </w:tcPr>
          <w:p w14:paraId="541B30BA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32293A7F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2B5D554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0EEA" w:rsidRPr="00A50EEA" w14:paraId="112ED3DC" w14:textId="77777777" w:rsidTr="00297F8F">
        <w:tc>
          <w:tcPr>
            <w:tcW w:w="2386" w:type="dxa"/>
            <w:gridSpan w:val="2"/>
            <w:vAlign w:val="center"/>
          </w:tcPr>
          <w:p w14:paraId="76D780F4" w14:textId="77777777" w:rsidR="00A50EEA" w:rsidRPr="00A50EEA" w:rsidRDefault="00A50EEA" w:rsidP="00471564">
            <w:pPr>
              <w:tabs>
                <w:tab w:val="left" w:pos="459"/>
              </w:tabs>
              <w:spacing w:before="12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50EEA">
              <w:rPr>
                <w:rFonts w:ascii="Tahoma" w:hAnsi="Tahoma" w:cs="Tahoma"/>
                <w:b/>
                <w:sz w:val="16"/>
                <w:szCs w:val="16"/>
              </w:rPr>
              <w:t>6. Einrichtung eines Risiko-Radars</w:t>
            </w:r>
          </w:p>
        </w:tc>
        <w:tc>
          <w:tcPr>
            <w:tcW w:w="4429" w:type="dxa"/>
            <w:vAlign w:val="center"/>
          </w:tcPr>
          <w:p w14:paraId="447B0C6C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5" w:type="dxa"/>
          </w:tcPr>
          <w:p w14:paraId="3F9867C5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4D1D6EB" w14:textId="77777777" w:rsidR="00A50EEA" w:rsidRPr="00A50EEA" w:rsidRDefault="00A50EEA" w:rsidP="00471564">
            <w:pPr>
              <w:spacing w:before="120" w:line="276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7F8F" w:rsidRPr="00114D05" w14:paraId="16E5AF54" w14:textId="77777777" w:rsidTr="00297F8F">
        <w:tc>
          <w:tcPr>
            <w:tcW w:w="8956" w:type="dxa"/>
            <w:gridSpan w:val="5"/>
            <w:shd w:val="clear" w:color="auto" w:fill="00885E"/>
            <w:vAlign w:val="center"/>
          </w:tcPr>
          <w:p w14:paraId="216766F6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b/>
                <w:iCs/>
                <w:color w:val="FFFFFF"/>
                <w:sz w:val="20"/>
                <w:szCs w:val="20"/>
              </w:rPr>
            </w:pPr>
            <w:r w:rsidRPr="00297F8F">
              <w:rPr>
                <w:rFonts w:ascii="Tahoma" w:hAnsi="Tahoma" w:cs="Tahoma"/>
                <w:b/>
                <w:iCs/>
                <w:color w:val="FFFFFF"/>
                <w:sz w:val="20"/>
                <w:szCs w:val="20"/>
              </w:rPr>
              <w:lastRenderedPageBreak/>
              <w:t>Personalengpass-Strategie: Beispiel (Industrie)</w:t>
            </w:r>
          </w:p>
        </w:tc>
      </w:tr>
      <w:tr w:rsidR="00297F8F" w:rsidRPr="008756E8" w14:paraId="560EBC6A" w14:textId="77777777" w:rsidTr="00297F8F">
        <w:tc>
          <w:tcPr>
            <w:tcW w:w="8956" w:type="dxa"/>
            <w:gridSpan w:val="5"/>
            <w:vAlign w:val="center"/>
          </w:tcPr>
          <w:p w14:paraId="0483F9B1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 xml:space="preserve">Ein Maschinenbau-Unternehmen ist zunehmend mit Problemen der Personalressourcen konfrontiert. Entlang der Bausteine wird eine Personalengpass-Strategie entwickelt und in den Umsetzungs- bzw. </w:t>
            </w:r>
            <w:proofErr w:type="spellStart"/>
            <w:r w:rsidRPr="00297F8F">
              <w:rPr>
                <w:rFonts w:ascii="Tahoma" w:hAnsi="Tahoma" w:cs="Tahoma"/>
                <w:sz w:val="16"/>
                <w:szCs w:val="16"/>
              </w:rPr>
              <w:t>Controllingprozess</w:t>
            </w:r>
            <w:proofErr w:type="spellEnd"/>
            <w:r w:rsidRPr="00297F8F">
              <w:rPr>
                <w:rFonts w:ascii="Tahoma" w:hAnsi="Tahoma" w:cs="Tahoma"/>
                <w:sz w:val="16"/>
                <w:szCs w:val="16"/>
              </w:rPr>
              <w:t xml:space="preserve"> des Unternehmens integriert.</w:t>
            </w:r>
          </w:p>
        </w:tc>
      </w:tr>
      <w:tr w:rsidR="00297F8F" w:rsidRPr="008756E8" w14:paraId="6DECFA38" w14:textId="77777777" w:rsidTr="00297F8F">
        <w:tc>
          <w:tcPr>
            <w:tcW w:w="8956" w:type="dxa"/>
            <w:gridSpan w:val="5"/>
            <w:shd w:val="clear" w:color="auto" w:fill="D9D9D9" w:themeFill="background1" w:themeFillShade="D9"/>
            <w:vAlign w:val="center"/>
          </w:tcPr>
          <w:p w14:paraId="0E5F026E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A. Personalengpass-Strategie: Einschätzung der Situation</w:t>
            </w:r>
          </w:p>
        </w:tc>
      </w:tr>
      <w:tr w:rsidR="00297F8F" w:rsidRPr="008756E8" w14:paraId="1C4937F3" w14:textId="77777777" w:rsidTr="00297F8F"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7482264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Baustein</w:t>
            </w:r>
          </w:p>
        </w:tc>
        <w:tc>
          <w:tcPr>
            <w:tcW w:w="6576" w:type="dxa"/>
            <w:gridSpan w:val="4"/>
            <w:shd w:val="clear" w:color="auto" w:fill="D9D9D9" w:themeFill="background1" w:themeFillShade="D9"/>
            <w:vAlign w:val="center"/>
          </w:tcPr>
          <w:p w14:paraId="655C2D78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Einschätzung</w:t>
            </w:r>
          </w:p>
        </w:tc>
      </w:tr>
      <w:tr w:rsidR="00297F8F" w:rsidRPr="008756E8" w14:paraId="07A914B5" w14:textId="77777777" w:rsidTr="00297F8F">
        <w:tc>
          <w:tcPr>
            <w:tcW w:w="2380" w:type="dxa"/>
            <w:vAlign w:val="center"/>
          </w:tcPr>
          <w:p w14:paraId="3FF43992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1. Veränderung des Geschäftsmodells</w:t>
            </w:r>
          </w:p>
        </w:tc>
        <w:tc>
          <w:tcPr>
            <w:tcW w:w="6576" w:type="dxa"/>
            <w:gridSpan w:val="4"/>
            <w:vAlign w:val="center"/>
          </w:tcPr>
          <w:p w14:paraId="17517D25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Zunehmende Engpässe in den Serviceprozessen (inkl. der Service-Partner)</w:t>
            </w:r>
          </w:p>
          <w:p w14:paraId="2C3AA585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Steigende Nachfrage auf Kundenseite nach Unterstützung in der (Vor-) Entwicklung und Industrialisierung aufgrund des Fachkräftemangels auf Kundenseite</w:t>
            </w:r>
          </w:p>
          <w:p w14:paraId="60ECB82E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Zunehmende Marktbereinigung bei Händlern und Vertriebspartnern (Nachfolgeprobleme…)</w:t>
            </w:r>
          </w:p>
          <w:p w14:paraId="7462A6E2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297F8F" w:rsidRPr="008756E8" w14:paraId="633FC177" w14:textId="77777777" w:rsidTr="00297F8F">
        <w:tc>
          <w:tcPr>
            <w:tcW w:w="2380" w:type="dxa"/>
            <w:vAlign w:val="center"/>
          </w:tcPr>
          <w:p w14:paraId="7C8C06BE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2. Nutzung von Digitalisierung und KI</w:t>
            </w:r>
          </w:p>
        </w:tc>
        <w:tc>
          <w:tcPr>
            <w:tcW w:w="6576" w:type="dxa"/>
            <w:gridSpan w:val="4"/>
            <w:vAlign w:val="center"/>
          </w:tcPr>
          <w:p w14:paraId="22EBA08F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Nach wie vor zu viele «händische und Papierprozesse» (</w:t>
            </w:r>
            <w:proofErr w:type="spellStart"/>
            <w:r w:rsidRPr="00297F8F">
              <w:rPr>
                <w:rFonts w:ascii="Tahoma" w:hAnsi="Tahoma" w:cs="Tahoma"/>
                <w:sz w:val="16"/>
                <w:szCs w:val="16"/>
              </w:rPr>
              <w:t>xls</w:t>
            </w:r>
            <w:proofErr w:type="spellEnd"/>
            <w:r w:rsidRPr="00297F8F">
              <w:rPr>
                <w:rFonts w:ascii="Tahoma" w:hAnsi="Tahoma" w:cs="Tahoma"/>
                <w:sz w:val="16"/>
                <w:szCs w:val="16"/>
              </w:rPr>
              <w:t>, Mehrfacheingaben…)</w:t>
            </w:r>
          </w:p>
          <w:p w14:paraId="447B5967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Keine durchgängige Prozessautomatisierung im Einkauf und in der Fertigung (inkl. Schnittstellen)</w:t>
            </w:r>
          </w:p>
          <w:p w14:paraId="4B219AE3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297F8F" w:rsidRPr="008756E8" w14:paraId="34962D51" w14:textId="77777777" w:rsidTr="00297F8F">
        <w:tc>
          <w:tcPr>
            <w:tcW w:w="2380" w:type="dxa"/>
            <w:vAlign w:val="center"/>
          </w:tcPr>
          <w:p w14:paraId="1FEDEB9E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3. Gestaltung der neuen Arbeitswelten</w:t>
            </w:r>
          </w:p>
        </w:tc>
        <w:tc>
          <w:tcPr>
            <w:tcW w:w="6576" w:type="dxa"/>
            <w:gridSpan w:val="4"/>
            <w:vAlign w:val="center"/>
          </w:tcPr>
          <w:p w14:paraId="0574C9C5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Wertewandel im Ingenieur- und administrativen Bereich bei den unter 30-Jährigen</w:t>
            </w:r>
          </w:p>
          <w:p w14:paraId="6C6D34F9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297F8F" w:rsidRPr="008756E8" w14:paraId="349B00EC" w14:textId="77777777" w:rsidTr="00297F8F">
        <w:tc>
          <w:tcPr>
            <w:tcW w:w="2380" w:type="dxa"/>
            <w:vAlign w:val="center"/>
          </w:tcPr>
          <w:p w14:paraId="005555D2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4. Berücksichtigung des Führungskräfte-Mangels</w:t>
            </w:r>
          </w:p>
        </w:tc>
        <w:tc>
          <w:tcPr>
            <w:tcW w:w="6576" w:type="dxa"/>
            <w:gridSpan w:val="4"/>
            <w:vAlign w:val="center"/>
          </w:tcPr>
          <w:p w14:paraId="64CA0126" w14:textId="77777777" w:rsidR="00297F8F" w:rsidRPr="00297F8F" w:rsidRDefault="00297F8F" w:rsidP="00297F8F">
            <w:pPr>
              <w:pStyle w:val="Listenabsatz"/>
              <w:numPr>
                <w:ilvl w:val="0"/>
                <w:numId w:val="21"/>
              </w:numPr>
              <w:spacing w:before="120" w:after="0" w:line="240" w:lineRule="auto"/>
              <w:ind w:left="455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</w:tr>
      <w:tr w:rsidR="00297F8F" w:rsidRPr="008756E8" w14:paraId="40589B87" w14:textId="77777777" w:rsidTr="00297F8F">
        <w:tc>
          <w:tcPr>
            <w:tcW w:w="2380" w:type="dxa"/>
            <w:vAlign w:val="center"/>
          </w:tcPr>
          <w:p w14:paraId="397F3819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5. …</w:t>
            </w:r>
          </w:p>
        </w:tc>
        <w:tc>
          <w:tcPr>
            <w:tcW w:w="6576" w:type="dxa"/>
            <w:gridSpan w:val="4"/>
            <w:vAlign w:val="center"/>
          </w:tcPr>
          <w:p w14:paraId="6097F32B" w14:textId="77777777" w:rsidR="00297F8F" w:rsidRPr="00297F8F" w:rsidRDefault="00297F8F" w:rsidP="00297F8F">
            <w:pPr>
              <w:spacing w:before="12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7F8F" w:rsidRPr="008756E8" w14:paraId="72D2B64A" w14:textId="77777777" w:rsidTr="00297F8F">
        <w:tc>
          <w:tcPr>
            <w:tcW w:w="8956" w:type="dxa"/>
            <w:gridSpan w:val="5"/>
            <w:shd w:val="clear" w:color="auto" w:fill="D9D9D9" w:themeFill="background1" w:themeFillShade="D9"/>
            <w:vAlign w:val="center"/>
          </w:tcPr>
          <w:p w14:paraId="22535AE5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B. Personalengpass-Strategie: Umsetzung</w:t>
            </w:r>
          </w:p>
        </w:tc>
      </w:tr>
      <w:tr w:rsidR="00297F8F" w:rsidRPr="008756E8" w14:paraId="151BA6FD" w14:textId="77777777" w:rsidTr="00297F8F"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A83071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Baustein</w:t>
            </w:r>
          </w:p>
        </w:tc>
        <w:tc>
          <w:tcPr>
            <w:tcW w:w="4439" w:type="dxa"/>
            <w:gridSpan w:val="2"/>
            <w:shd w:val="clear" w:color="auto" w:fill="D9D9D9" w:themeFill="background1" w:themeFillShade="D9"/>
            <w:vAlign w:val="center"/>
          </w:tcPr>
          <w:p w14:paraId="075726C3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Maßnahme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576B3CC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Termin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25DC725A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Verantw.</w:t>
            </w:r>
          </w:p>
        </w:tc>
      </w:tr>
      <w:tr w:rsidR="00297F8F" w:rsidRPr="008756E8" w14:paraId="7F58B0BD" w14:textId="77777777" w:rsidTr="00297F8F">
        <w:tc>
          <w:tcPr>
            <w:tcW w:w="2380" w:type="dxa"/>
            <w:vAlign w:val="center"/>
          </w:tcPr>
          <w:p w14:paraId="60E1E58A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1. Veränderung des Geschäftsmodells</w:t>
            </w:r>
          </w:p>
        </w:tc>
        <w:tc>
          <w:tcPr>
            <w:tcW w:w="4439" w:type="dxa"/>
            <w:gridSpan w:val="2"/>
            <w:vAlign w:val="center"/>
          </w:tcPr>
          <w:p w14:paraId="552FD0B9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1.1. Entwicklung neuer Service-Modelle über Ferndiagnosen und Kundenschnittstellen</w:t>
            </w:r>
          </w:p>
        </w:tc>
        <w:tc>
          <w:tcPr>
            <w:tcW w:w="983" w:type="dxa"/>
          </w:tcPr>
          <w:p w14:paraId="26673122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30.06.</w:t>
            </w:r>
          </w:p>
        </w:tc>
        <w:tc>
          <w:tcPr>
            <w:tcW w:w="1154" w:type="dxa"/>
          </w:tcPr>
          <w:p w14:paraId="5FD4BCB7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F. Möller</w:t>
            </w:r>
          </w:p>
        </w:tc>
      </w:tr>
      <w:tr w:rsidR="00297F8F" w:rsidRPr="008756E8" w14:paraId="65B9BEEF" w14:textId="77777777" w:rsidTr="00297F8F">
        <w:tc>
          <w:tcPr>
            <w:tcW w:w="2380" w:type="dxa"/>
            <w:vAlign w:val="center"/>
          </w:tcPr>
          <w:p w14:paraId="088130F5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39" w:type="dxa"/>
            <w:gridSpan w:val="2"/>
            <w:vAlign w:val="center"/>
          </w:tcPr>
          <w:p w14:paraId="5F3FE8DD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1.2. Prüfung eines neuen Geschäftsmodells für (Vor-) Entwicklung bzw. Industrialisierung (auch als Alternative zum bestehenden Produktionsmodell)</w:t>
            </w:r>
          </w:p>
        </w:tc>
        <w:tc>
          <w:tcPr>
            <w:tcW w:w="983" w:type="dxa"/>
          </w:tcPr>
          <w:p w14:paraId="31D55987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30.09.</w:t>
            </w:r>
          </w:p>
        </w:tc>
        <w:tc>
          <w:tcPr>
            <w:tcW w:w="1154" w:type="dxa"/>
          </w:tcPr>
          <w:p w14:paraId="60D85174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 xml:space="preserve">U. </w:t>
            </w:r>
            <w:proofErr w:type="spellStart"/>
            <w:r w:rsidRPr="00297F8F">
              <w:rPr>
                <w:rFonts w:ascii="Tahoma" w:hAnsi="Tahoma" w:cs="Tahoma"/>
                <w:sz w:val="16"/>
                <w:szCs w:val="16"/>
              </w:rPr>
              <w:t>Koric</w:t>
            </w:r>
            <w:proofErr w:type="spellEnd"/>
          </w:p>
        </w:tc>
      </w:tr>
      <w:tr w:rsidR="00297F8F" w:rsidRPr="008756E8" w14:paraId="54FD2CD5" w14:textId="77777777" w:rsidTr="00297F8F">
        <w:tc>
          <w:tcPr>
            <w:tcW w:w="2380" w:type="dxa"/>
            <w:vAlign w:val="center"/>
          </w:tcPr>
          <w:p w14:paraId="21DEB0F7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39" w:type="dxa"/>
            <w:gridSpan w:val="2"/>
            <w:vAlign w:val="center"/>
          </w:tcPr>
          <w:p w14:paraId="7737BAE9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 xml:space="preserve">1.3. Umstellung des Vertriebsmodell auf </w:t>
            </w:r>
            <w:proofErr w:type="spellStart"/>
            <w:r w:rsidRPr="00297F8F">
              <w:rPr>
                <w:rFonts w:ascii="Tahoma" w:hAnsi="Tahoma" w:cs="Tahoma"/>
                <w:sz w:val="16"/>
                <w:szCs w:val="16"/>
              </w:rPr>
              <w:t>Direct</w:t>
            </w:r>
            <w:proofErr w:type="spellEnd"/>
            <w:r w:rsidRPr="00297F8F">
              <w:rPr>
                <w:rFonts w:ascii="Tahoma" w:hAnsi="Tahoma" w:cs="Tahoma"/>
                <w:sz w:val="16"/>
                <w:szCs w:val="16"/>
              </w:rPr>
              <w:t xml:space="preserve"> Sales in Schlüsselländern (Umsetzungs-Vorschlag)</w:t>
            </w:r>
          </w:p>
        </w:tc>
        <w:tc>
          <w:tcPr>
            <w:tcW w:w="983" w:type="dxa"/>
          </w:tcPr>
          <w:p w14:paraId="300A6BEA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30.09.</w:t>
            </w:r>
          </w:p>
        </w:tc>
        <w:tc>
          <w:tcPr>
            <w:tcW w:w="1154" w:type="dxa"/>
          </w:tcPr>
          <w:p w14:paraId="1ADABFCF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A. Peer</w:t>
            </w:r>
          </w:p>
        </w:tc>
      </w:tr>
      <w:tr w:rsidR="00297F8F" w:rsidRPr="008756E8" w14:paraId="6C1179BD" w14:textId="77777777" w:rsidTr="00297F8F">
        <w:tc>
          <w:tcPr>
            <w:tcW w:w="2380" w:type="dxa"/>
            <w:vAlign w:val="center"/>
          </w:tcPr>
          <w:p w14:paraId="0FADCFE8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2. Nutzung von Digitalisierung und KI</w:t>
            </w:r>
          </w:p>
        </w:tc>
        <w:tc>
          <w:tcPr>
            <w:tcW w:w="4439" w:type="dxa"/>
            <w:gridSpan w:val="2"/>
            <w:vAlign w:val="center"/>
          </w:tcPr>
          <w:p w14:paraId="1A0DB9AC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2.1. Start des Digitalisierungsprogramms im Einkauf und Vorbereitung des Programms in der Fertigung</w:t>
            </w:r>
          </w:p>
        </w:tc>
        <w:tc>
          <w:tcPr>
            <w:tcW w:w="983" w:type="dxa"/>
          </w:tcPr>
          <w:p w14:paraId="1B98AC6A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30.06.</w:t>
            </w:r>
          </w:p>
        </w:tc>
        <w:tc>
          <w:tcPr>
            <w:tcW w:w="1154" w:type="dxa"/>
          </w:tcPr>
          <w:p w14:paraId="4B1B2970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 xml:space="preserve">B. Eltze, U. </w:t>
            </w:r>
            <w:proofErr w:type="spellStart"/>
            <w:r w:rsidRPr="00297F8F">
              <w:rPr>
                <w:rFonts w:ascii="Tahoma" w:hAnsi="Tahoma" w:cs="Tahoma"/>
                <w:sz w:val="16"/>
                <w:szCs w:val="16"/>
              </w:rPr>
              <w:t>Koric</w:t>
            </w:r>
            <w:proofErr w:type="spellEnd"/>
          </w:p>
        </w:tc>
      </w:tr>
      <w:tr w:rsidR="00297F8F" w:rsidRPr="008756E8" w14:paraId="193E8480" w14:textId="77777777" w:rsidTr="00297F8F">
        <w:tc>
          <w:tcPr>
            <w:tcW w:w="2380" w:type="dxa"/>
            <w:vAlign w:val="center"/>
          </w:tcPr>
          <w:p w14:paraId="75782F82" w14:textId="77777777" w:rsidR="00297F8F" w:rsidRPr="00297F8F" w:rsidRDefault="00297F8F" w:rsidP="00297F8F">
            <w:pPr>
              <w:tabs>
                <w:tab w:val="left" w:pos="459"/>
              </w:tabs>
              <w:spacing w:before="12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97F8F">
              <w:rPr>
                <w:rFonts w:ascii="Tahoma" w:hAnsi="Tahoma" w:cs="Tahoma"/>
                <w:b/>
                <w:sz w:val="16"/>
                <w:szCs w:val="16"/>
              </w:rPr>
              <w:t>3. …</w:t>
            </w:r>
          </w:p>
        </w:tc>
        <w:tc>
          <w:tcPr>
            <w:tcW w:w="4439" w:type="dxa"/>
            <w:gridSpan w:val="2"/>
            <w:vAlign w:val="center"/>
          </w:tcPr>
          <w:p w14:paraId="1EC38524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  <w:r w:rsidRPr="00297F8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  <w:tc>
          <w:tcPr>
            <w:tcW w:w="983" w:type="dxa"/>
          </w:tcPr>
          <w:p w14:paraId="4DD773BE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54" w:type="dxa"/>
          </w:tcPr>
          <w:p w14:paraId="5D802CAB" w14:textId="77777777" w:rsidR="00297F8F" w:rsidRPr="00297F8F" w:rsidRDefault="00297F8F" w:rsidP="00297F8F">
            <w:pPr>
              <w:spacing w:before="120" w:line="240" w:lineRule="auto"/>
              <w:ind w:left="-25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1BD5B0" w14:textId="77777777" w:rsidR="00074635" w:rsidRDefault="00074635"/>
    <w:sectPr w:rsidR="00074635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ockout HTF49-Litewe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6CC6B6D7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>improve Praxisletter</w:t>
    </w:r>
    <w:r>
      <w:rPr>
        <w:rFonts w:ascii="Tahoma" w:hAnsi="Tahoma" w:cs="Tahoma"/>
        <w:sz w:val="16"/>
        <w:szCs w:val="16"/>
        <w:lang w:val="en-US"/>
      </w:rPr>
      <w:t xml:space="preserve"> – Ausgabe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A50EEA">
      <w:rPr>
        <w:rFonts w:ascii="Tahoma" w:hAnsi="Tahoma" w:cs="Tahoma"/>
        <w:sz w:val="16"/>
        <w:szCs w:val="16"/>
        <w:lang w:val="en-US"/>
      </w:rPr>
      <w:t>0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A50EEA">
      <w:rPr>
        <w:rFonts w:ascii="Tahoma" w:hAnsi="Tahoma" w:cs="Tahoma"/>
        <w:sz w:val="16"/>
        <w:szCs w:val="16"/>
        <w:lang w:val="en-US"/>
      </w:rPr>
      <w:t xml:space="preserve">November </w:t>
    </w:r>
    <w:r>
      <w:rPr>
        <w:rFonts w:ascii="Tahoma" w:hAnsi="Tahoma" w:cs="Tahoma"/>
        <w:sz w:val="16"/>
        <w:szCs w:val="16"/>
        <w:lang w:val="en-US"/>
      </w:rPr>
      <w:t>202</w:t>
    </w:r>
    <w:r w:rsidR="00074635">
      <w:rPr>
        <w:rFonts w:ascii="Tahoma" w:hAnsi="Tahoma" w:cs="Tahoma"/>
        <w:sz w:val="16"/>
        <w:szCs w:val="16"/>
        <w:lang w:val="en-US"/>
      </w:rPr>
      <w:t>5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77777777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</w:t>
    </w:r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18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19"/>
  </w:num>
  <w:num w:numId="10" w16cid:durableId="1320695643">
    <w:abstractNumId w:val="14"/>
  </w:num>
  <w:num w:numId="11" w16cid:durableId="498279709">
    <w:abstractNumId w:val="16"/>
  </w:num>
  <w:num w:numId="12" w16cid:durableId="971138112">
    <w:abstractNumId w:val="12"/>
  </w:num>
  <w:num w:numId="13" w16cid:durableId="1710258633">
    <w:abstractNumId w:val="17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5"/>
  </w:num>
  <w:num w:numId="18" w16cid:durableId="1684673695">
    <w:abstractNumId w:val="20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181251"/>
    <w:rsid w:val="001A1F68"/>
    <w:rsid w:val="002154FA"/>
    <w:rsid w:val="002722F0"/>
    <w:rsid w:val="00297F8F"/>
    <w:rsid w:val="002C4F78"/>
    <w:rsid w:val="002F64F9"/>
    <w:rsid w:val="00310A39"/>
    <w:rsid w:val="00311A33"/>
    <w:rsid w:val="00353321"/>
    <w:rsid w:val="00376367"/>
    <w:rsid w:val="0039145F"/>
    <w:rsid w:val="003A1F2C"/>
    <w:rsid w:val="00450452"/>
    <w:rsid w:val="004C3F85"/>
    <w:rsid w:val="004C7BEA"/>
    <w:rsid w:val="004E0B01"/>
    <w:rsid w:val="0061505D"/>
    <w:rsid w:val="0066212F"/>
    <w:rsid w:val="00684D73"/>
    <w:rsid w:val="006E032F"/>
    <w:rsid w:val="00755AF7"/>
    <w:rsid w:val="00756D52"/>
    <w:rsid w:val="007B4A27"/>
    <w:rsid w:val="007C4197"/>
    <w:rsid w:val="00817495"/>
    <w:rsid w:val="0086766F"/>
    <w:rsid w:val="0094651A"/>
    <w:rsid w:val="009C3C35"/>
    <w:rsid w:val="00A12BD7"/>
    <w:rsid w:val="00A45012"/>
    <w:rsid w:val="00A50EEA"/>
    <w:rsid w:val="00BA0F4D"/>
    <w:rsid w:val="00BA783A"/>
    <w:rsid w:val="00BD5990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E00828"/>
    <w:rsid w:val="00EB7E7C"/>
    <w:rsid w:val="00EC5D2A"/>
    <w:rsid w:val="00EF4434"/>
    <w:rsid w:val="00F327B1"/>
    <w:rsid w:val="00F836BC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-kufstein.ac.at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4</cp:revision>
  <dcterms:created xsi:type="dcterms:W3CDTF">2025-10-02T14:20:00Z</dcterms:created>
  <dcterms:modified xsi:type="dcterms:W3CDTF">2025-10-02T14:28:00Z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